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20" w:rsidRDefault="00176D20">
      <w:pPr>
        <w:pStyle w:val="Heading1"/>
        <w:jc w:val="center"/>
        <w:rPr>
          <w:b/>
          <w:bCs/>
          <w:sz w:val="32"/>
          <w:szCs w:val="32"/>
        </w:rPr>
      </w:pPr>
      <w:r>
        <w:rPr>
          <w:b/>
          <w:bCs/>
          <w:sz w:val="32"/>
          <w:szCs w:val="32"/>
        </w:rPr>
        <w:t xml:space="preserve">Data Collection of Total Expenditures for SWAM Report  </w:t>
      </w:r>
    </w:p>
    <w:p w:rsidR="00176D20" w:rsidRDefault="00176D20" w:rsidP="00176D20">
      <w:pPr>
        <w:pStyle w:val="Default"/>
      </w:pPr>
    </w:p>
    <w:p w:rsidR="00176D20" w:rsidRDefault="00176D20" w:rsidP="00176D20">
      <w:r w:rsidRPr="00176D20">
        <w:rPr>
          <w:b/>
        </w:rPr>
        <w:t>Discretionary Expenditures</w:t>
      </w:r>
      <w:r>
        <w:t>:</w:t>
      </w:r>
    </w:p>
    <w:p w:rsidR="00176D20" w:rsidRDefault="00176D20" w:rsidP="00176D20">
      <w:pPr>
        <w:ind w:firstLine="720"/>
      </w:pPr>
      <w:bookmarkStart w:id="0" w:name="_GoBack"/>
      <w:r>
        <w:t>The total dollars paid by state agencies to vendors for goods and services including construction through contracts or purchase orders resulting in the process of procurement.  Payments to governmental entities, fees for services such as banking transactions, and payments that are not procurement related such as employee payroll, employee benefits, or</w:t>
      </w:r>
      <w:r w:rsidRPr="000E53E1">
        <w:t xml:space="preserve"> </w:t>
      </w:r>
      <w:r>
        <w:t xml:space="preserve">utility monthly charges are not considered to be discretionary expenditures. </w:t>
      </w:r>
    </w:p>
    <w:p w:rsidR="00176D20" w:rsidRDefault="00176D20" w:rsidP="00176D20">
      <w:pPr>
        <w:ind w:firstLine="720"/>
      </w:pPr>
      <w:r>
        <w:t xml:space="preserve">For reporting purposes, a list of specific </w:t>
      </w:r>
      <w:r w:rsidR="00BB77FE">
        <w:t>account</w:t>
      </w:r>
      <w:r>
        <w:t xml:space="preserve"> </w:t>
      </w:r>
      <w:r w:rsidR="00BB77FE">
        <w:t>c</w:t>
      </w:r>
      <w:r>
        <w:t>odes that are used to record these procurement payments in the Commonwealth’s Accounting System (C</w:t>
      </w:r>
      <w:r w:rsidR="00BB77FE">
        <w:t>ardinal</w:t>
      </w:r>
      <w:r>
        <w:t xml:space="preserve">) has been identified and posted on the Department of </w:t>
      </w:r>
      <w:r w:rsidR="00BB77FE">
        <w:t>Small Business and Supplier Diversity</w:t>
      </w:r>
      <w:r w:rsidR="00F04B84">
        <w:t xml:space="preserve"> </w:t>
      </w:r>
      <w:r w:rsidR="00BB77FE">
        <w:t>(DSBSD)</w:t>
      </w:r>
      <w:r>
        <w:t xml:space="preserve"> Website. </w:t>
      </w:r>
    </w:p>
    <w:bookmarkEnd w:id="0"/>
    <w:p w:rsidR="00176D20" w:rsidRDefault="00176D20">
      <w:pPr>
        <w:rPr>
          <w:rFonts w:ascii="MAIIBI+TimesNewRoman" w:hAnsi="MAIIBI+TimesNewRoman" w:cs="MAIIBI+TimesNewRoman"/>
        </w:rPr>
      </w:pPr>
      <w:r>
        <w:rPr>
          <w:b/>
          <w:bCs/>
          <w:sz w:val="28"/>
          <w:szCs w:val="28"/>
        </w:rPr>
        <w:t xml:space="preserve"> </w:t>
      </w:r>
      <w:r>
        <w:rPr>
          <w:rFonts w:ascii="MAIIBI+TimesNewRoman" w:hAnsi="MAIIBI+TimesNewRoman" w:cs="MAIIBI+TimesNewRoman"/>
        </w:rPr>
        <w:t xml:space="preserve"> </w:t>
      </w:r>
    </w:p>
    <w:p w:rsidR="00176D20" w:rsidRDefault="00176D20" w:rsidP="00176D20">
      <w:pPr>
        <w:rPr>
          <w:rFonts w:ascii="MAIIBI+TimesNewRoman" w:hAnsi="MAIIBI+TimesNewRoman" w:cs="MAIIBI+TimesNewRoman"/>
        </w:rPr>
      </w:pPr>
      <w:r>
        <w:rPr>
          <w:rFonts w:ascii="MAIIBI+TimesNewRoman" w:hAnsi="MAIIBI+TimesNewRoman" w:cs="MAIIBI+TimesNewRoman"/>
        </w:rPr>
        <w:t>The computerized extraction of procurement payments from C</w:t>
      </w:r>
      <w:r w:rsidR="00BB77FE">
        <w:rPr>
          <w:rFonts w:ascii="MAIIBI+TimesNewRoman" w:hAnsi="MAIIBI+TimesNewRoman" w:cs="MAIIBI+TimesNewRoman"/>
        </w:rPr>
        <w:t>ardinal</w:t>
      </w:r>
      <w:r>
        <w:rPr>
          <w:rFonts w:ascii="MAIIBI+TimesNewRoman" w:hAnsi="MAIIBI+TimesNewRoman" w:cs="MAIIBI+TimesNewRoman"/>
        </w:rPr>
        <w:t xml:space="preserve"> for SWAM reports involves several </w:t>
      </w:r>
      <w:r w:rsidR="00BB77FE">
        <w:rPr>
          <w:rFonts w:ascii="MAIIBI+TimesNewRoman" w:hAnsi="MAIIBI+TimesNewRoman" w:cs="MAIIBI+TimesNewRoman"/>
        </w:rPr>
        <w:t>Account</w:t>
      </w:r>
      <w:r>
        <w:rPr>
          <w:rFonts w:ascii="MAIIBI+TimesNewRoman" w:hAnsi="MAIIBI+TimesNewRoman" w:cs="MAIIBI+TimesNewRoman"/>
        </w:rPr>
        <w:t xml:space="preserve"> Codes:  </w:t>
      </w:r>
    </w:p>
    <w:p w:rsidR="00176D20" w:rsidRDefault="00176D20" w:rsidP="00176D20">
      <w:pPr>
        <w:rPr>
          <w:rFonts w:ascii="MAIIBI+TimesNewRoman" w:hAnsi="MAIIBI+TimesNewRoman" w:cs="MAIIBI+TimesNewRoman"/>
        </w:rPr>
      </w:pPr>
      <w:r>
        <w:rPr>
          <w:rFonts w:ascii="MAIIBI+TimesNewRoman" w:hAnsi="MAIIBI+TimesNewRoman" w:cs="MAIIBI+TimesNewRoman"/>
        </w:rPr>
        <w:t xml:space="preserve"> </w:t>
      </w:r>
    </w:p>
    <w:p w:rsidR="00176D20" w:rsidRDefault="00176D20" w:rsidP="00176D20">
      <w:pPr>
        <w:numPr>
          <w:ilvl w:val="0"/>
          <w:numId w:val="10"/>
        </w:numPr>
        <w:rPr>
          <w:rFonts w:ascii="MAIIBI+TimesNewRoman" w:hAnsi="MAIIBI+TimesNewRoman" w:cs="MAIIBI+TimesNewRoman"/>
          <w:sz w:val="28"/>
          <w:szCs w:val="28"/>
        </w:rPr>
      </w:pPr>
      <w:r>
        <w:rPr>
          <w:rFonts w:ascii="MAIIBI+TimesNewRoman" w:hAnsi="MAIIBI+TimesNewRoman" w:cs="MAIIBI+TimesNewRoman"/>
        </w:rPr>
        <w:t xml:space="preserve">The payments with specific </w:t>
      </w:r>
      <w:r w:rsidR="00BB77FE">
        <w:rPr>
          <w:rFonts w:ascii="MAIIBI+TimesNewRoman" w:hAnsi="MAIIBI+TimesNewRoman" w:cs="MAIIBI+TimesNewRoman"/>
        </w:rPr>
        <w:t>Account</w:t>
      </w:r>
      <w:r>
        <w:rPr>
          <w:rFonts w:ascii="MAIIBI+TimesNewRoman" w:hAnsi="MAIIBI+TimesNewRoman" w:cs="MAIIBI+TimesNewRoman"/>
        </w:rPr>
        <w:t xml:space="preserve"> Codes are extracted first for the SWAM report</w:t>
      </w:r>
      <w:r>
        <w:rPr>
          <w:rFonts w:ascii="MAIIBI+TimesNewRoman" w:hAnsi="MAIIBI+TimesNewRoman" w:cs="MAIIBI+TimesNewRoman"/>
          <w:sz w:val="28"/>
          <w:szCs w:val="28"/>
        </w:rPr>
        <w:t xml:space="preserve">.  </w:t>
      </w:r>
    </w:p>
    <w:p w:rsidR="00176D20" w:rsidRDefault="00176D20" w:rsidP="00176D20">
      <w:pPr>
        <w:rPr>
          <w:rFonts w:ascii="MAIIBI+TimesNewRoman" w:hAnsi="MAIIBI+TimesNewRoman" w:cs="MAIIBI+TimesNewRoman"/>
        </w:rPr>
      </w:pPr>
      <w:r>
        <w:rPr>
          <w:rFonts w:ascii="MAIIBI+TimesNewRoman" w:hAnsi="MAIIBI+TimesNewRoman" w:cs="MAIIBI+TimesNewRoman"/>
        </w:rPr>
        <w:t xml:space="preserve"> </w:t>
      </w:r>
    </w:p>
    <w:p w:rsidR="00176D20" w:rsidRPr="00BB77FE" w:rsidRDefault="00176D20" w:rsidP="00BB77FE">
      <w:pPr>
        <w:pStyle w:val="BodyTextIndent"/>
        <w:numPr>
          <w:ilvl w:val="1"/>
          <w:numId w:val="4"/>
        </w:numPr>
        <w:rPr>
          <w:rFonts w:ascii="MAIIBI+TimesNewRoman" w:hAnsi="MAIIBI+TimesNewRoman" w:cs="MAIIBI+TimesNewRoman"/>
        </w:rPr>
      </w:pPr>
      <w:r>
        <w:rPr>
          <w:rFonts w:ascii="MAIIBI+TimesNewRoman" w:hAnsi="MAIIBI+TimesNewRoman" w:cs="MAIIBI+TimesNewRoman"/>
        </w:rPr>
        <w:t xml:space="preserve">The relevant </w:t>
      </w:r>
      <w:r w:rsidR="00BB77FE">
        <w:rPr>
          <w:rFonts w:ascii="MAIIBI+TimesNewRoman" w:hAnsi="MAIIBI+TimesNewRoman" w:cs="MAIIBI+TimesNewRoman"/>
        </w:rPr>
        <w:t>account</w:t>
      </w:r>
      <w:r>
        <w:rPr>
          <w:rFonts w:ascii="MAIIBI+TimesNewRoman" w:hAnsi="MAIIBI+TimesNewRoman" w:cs="MAIIBI+TimesNewRoman"/>
        </w:rPr>
        <w:t xml:space="preserve"> </w:t>
      </w:r>
      <w:r w:rsidR="00BB77FE">
        <w:rPr>
          <w:rFonts w:ascii="MAIIBI+TimesNewRoman" w:hAnsi="MAIIBI+TimesNewRoman" w:cs="MAIIBI+TimesNewRoman"/>
        </w:rPr>
        <w:t>c</w:t>
      </w:r>
      <w:r>
        <w:rPr>
          <w:rFonts w:ascii="MAIIBI+TimesNewRoman" w:hAnsi="MAIIBI+TimesNewRoman" w:cs="MAIIBI+TimesNewRoman"/>
        </w:rPr>
        <w:t xml:space="preserve">odes used for payment extraction are listed in Appendix 1.  </w:t>
      </w:r>
    </w:p>
    <w:p w:rsidR="00176D20" w:rsidRDefault="00176D20" w:rsidP="00176D20">
      <w:pPr>
        <w:pStyle w:val="Header"/>
        <w:rPr>
          <w:rFonts w:ascii="MAIIBI+TimesNewRoman" w:hAnsi="MAIIBI+TimesNewRoman" w:cs="MAIIBI+TimesNewRoman"/>
        </w:rPr>
      </w:pPr>
      <w:r>
        <w:rPr>
          <w:rFonts w:ascii="MAIIBI+TimesNewRoman" w:hAnsi="MAIIBI+TimesNewRoman" w:cs="MAIIBI+TimesNewRoman"/>
        </w:rPr>
        <w:t xml:space="preserve"> </w:t>
      </w:r>
    </w:p>
    <w:p w:rsidR="00176D20" w:rsidRDefault="00176D20" w:rsidP="00176D20">
      <w:pPr>
        <w:numPr>
          <w:ilvl w:val="0"/>
          <w:numId w:val="8"/>
        </w:numPr>
        <w:rPr>
          <w:rFonts w:ascii="MAIIBI+TimesNewRoman" w:hAnsi="MAIIBI+TimesNewRoman" w:cs="MAIIBI+TimesNewRoman"/>
        </w:rPr>
      </w:pPr>
      <w:r>
        <w:rPr>
          <w:rFonts w:ascii="MAIIBI+TimesNewRoman" w:hAnsi="MAIIBI+TimesNewRoman" w:cs="MAIIBI+TimesNewRoman"/>
        </w:rPr>
        <w:t xml:space="preserve">Non-procurement expenditures such as banking transactions; payments to government entities; and payments to nonprofit local organizations are excluded from the SWAM report. Several methods are used to process the exclusion of those payments: </w:t>
      </w:r>
    </w:p>
    <w:p w:rsidR="00176D20" w:rsidRPr="00176D20" w:rsidRDefault="00176D20" w:rsidP="00176D20">
      <w:pPr>
        <w:pStyle w:val="Default"/>
      </w:pPr>
    </w:p>
    <w:p w:rsidR="00176D20" w:rsidRDefault="00176D20" w:rsidP="00176D20">
      <w:pPr>
        <w:numPr>
          <w:ilvl w:val="1"/>
          <w:numId w:val="8"/>
        </w:numPr>
        <w:ind w:firstLine="0"/>
        <w:rPr>
          <w:rFonts w:ascii="MAIIBI+TimesNewRoman" w:hAnsi="MAIIBI+TimesNewRoman" w:cs="MAIIBI+TimesNewRoman"/>
        </w:rPr>
      </w:pPr>
      <w:r>
        <w:rPr>
          <w:rFonts w:ascii="MAIIBI+TimesNewRoman" w:hAnsi="MAIIBI+TimesNewRoman" w:cs="MAIIBI+TimesNewRoman"/>
        </w:rPr>
        <w:t xml:space="preserve">Payments coded with FIPS will be automatically excluded. </w:t>
      </w:r>
    </w:p>
    <w:p w:rsidR="00176D20" w:rsidRDefault="00176D20" w:rsidP="00176D20">
      <w:pPr>
        <w:numPr>
          <w:ilvl w:val="1"/>
          <w:numId w:val="8"/>
        </w:numPr>
        <w:ind w:firstLine="0"/>
        <w:rPr>
          <w:rFonts w:ascii="MAIIBI+TimesNewRoman" w:hAnsi="MAIIBI+TimesNewRoman" w:cs="MAIIBI+TimesNewRoman"/>
        </w:rPr>
      </w:pPr>
      <w:r>
        <w:rPr>
          <w:rFonts w:ascii="MAIIBI+TimesNewRoman" w:hAnsi="MAIIBI+TimesNewRoman" w:cs="MAIIBI+TimesNewRoman"/>
        </w:rPr>
        <w:t xml:space="preserve">Payments to other state agencies will be automatically excluded.  </w:t>
      </w:r>
    </w:p>
    <w:p w:rsidR="00176D20" w:rsidRDefault="00176D20" w:rsidP="00176D20">
      <w:pPr>
        <w:numPr>
          <w:ilvl w:val="1"/>
          <w:numId w:val="8"/>
        </w:numPr>
        <w:ind w:firstLine="0"/>
        <w:rPr>
          <w:rFonts w:ascii="MAIIBI+TimesNewRoman" w:hAnsi="MAIIBI+TimesNewRoman" w:cs="MAIIBI+TimesNewRoman"/>
        </w:rPr>
      </w:pPr>
      <w:r>
        <w:rPr>
          <w:rFonts w:ascii="MAIIBI+TimesNewRoman" w:hAnsi="MAIIBI+TimesNewRoman" w:cs="MAIIBI+TimesNewRoman"/>
        </w:rPr>
        <w:t xml:space="preserve">The Federal Tax ID for banks or government entities will be used to exclude those payments from the SWAM reports. </w:t>
      </w:r>
    </w:p>
    <w:p w:rsidR="00176D20" w:rsidRDefault="00176D20" w:rsidP="00176D20">
      <w:pPr>
        <w:pStyle w:val="Default"/>
        <w:rPr>
          <w:rFonts w:ascii="MAIIBI+TimesNewRoman" w:hAnsi="MAIIBI+TimesNewRoman" w:cs="MAIIBI+TimesNewRoman"/>
          <w:color w:val="auto"/>
        </w:rPr>
      </w:pPr>
    </w:p>
    <w:p w:rsidR="00176D20" w:rsidRDefault="00176D20" w:rsidP="00176D20">
      <w:pPr>
        <w:rPr>
          <w:rFonts w:ascii="MAIIBI+TimesNewRoman" w:hAnsi="MAIIBI+TimesNewRoman" w:cs="MAIIBI+TimesNewRoman"/>
        </w:rPr>
      </w:pPr>
      <w:r>
        <w:rPr>
          <w:rFonts w:ascii="MAIIBI+TimesNewRoman" w:hAnsi="MAIIBI+TimesNewRoman" w:cs="MAIIBI+TimesNewRoman"/>
        </w:rPr>
        <w:t xml:space="preserve">   </w:t>
      </w:r>
    </w:p>
    <w:p w:rsidR="00176D20" w:rsidRDefault="00176D20" w:rsidP="00176D20">
      <w:pPr>
        <w:pStyle w:val="BodyTextIndent2"/>
        <w:rPr>
          <w:rFonts w:cs="MAIICJ+TimesNewRoman,Bold"/>
          <w:sz w:val="28"/>
          <w:szCs w:val="28"/>
        </w:rPr>
      </w:pPr>
      <w:r>
        <w:rPr>
          <w:rFonts w:cs="MAIICJ+TimesNewRoman,Bold"/>
          <w:b/>
          <w:bCs/>
          <w:sz w:val="28"/>
          <w:szCs w:val="28"/>
        </w:rPr>
        <w:t>Note: State agencies or institutions should submit a list of government entities and relevant nonprofit local organizations with their Federal Tax IDs in an Excel format to D</w:t>
      </w:r>
      <w:r w:rsidR="00BB77FE">
        <w:rPr>
          <w:rFonts w:cs="MAIICJ+TimesNewRoman,Bold"/>
          <w:b/>
          <w:bCs/>
          <w:sz w:val="28"/>
          <w:szCs w:val="28"/>
        </w:rPr>
        <w:t>SBSD</w:t>
      </w:r>
      <w:r>
        <w:rPr>
          <w:rFonts w:cs="MAIICJ+TimesNewRoman,Bold"/>
          <w:b/>
          <w:bCs/>
          <w:sz w:val="28"/>
          <w:szCs w:val="28"/>
        </w:rPr>
        <w:t xml:space="preserve"> for data exclusion. </w:t>
      </w:r>
    </w:p>
    <w:p w:rsidR="00176D20" w:rsidRDefault="00176D20" w:rsidP="00176D20">
      <w:pPr>
        <w:pStyle w:val="Header"/>
        <w:rPr>
          <w:rFonts w:ascii="MAIIBI+TimesNewRoman" w:hAnsi="MAIIBI+TimesNewRoman" w:cs="MAIIBI+TimesNewRoman"/>
        </w:rPr>
      </w:pPr>
      <w:r>
        <w:rPr>
          <w:rFonts w:ascii="MAIIBI+TimesNewRoman" w:hAnsi="MAIIBI+TimesNewRoman" w:cs="MAIIBI+TimesNewRoman"/>
        </w:rPr>
        <w:t xml:space="preserve"> </w:t>
      </w:r>
    </w:p>
    <w:p w:rsidR="00176D20" w:rsidRDefault="00176D20" w:rsidP="00176D20">
      <w:pPr>
        <w:pStyle w:val="Header"/>
        <w:rPr>
          <w:rFonts w:ascii="MAIIBI+TimesNewRoman" w:hAnsi="MAIIBI+TimesNewRoman" w:cs="MAIIBI+TimesNewRoman"/>
        </w:rPr>
      </w:pPr>
      <w:r>
        <w:rPr>
          <w:rFonts w:ascii="MAIIBI+TimesNewRoman" w:hAnsi="MAIIBI+TimesNewRoman" w:cs="MAIIBI+TimesNewRoman"/>
        </w:rPr>
        <w:t>• The expenditures of charge cards are extracted directly from C</w:t>
      </w:r>
      <w:r w:rsidR="00BB77FE">
        <w:rPr>
          <w:rFonts w:ascii="MAIIBI+TimesNewRoman" w:hAnsi="MAIIBI+TimesNewRoman" w:cs="MAIIBI+TimesNewRoman"/>
        </w:rPr>
        <w:t>ardinal</w:t>
      </w:r>
      <w:r>
        <w:rPr>
          <w:rFonts w:ascii="MAIIBI+TimesNewRoman" w:hAnsi="MAIIBI+TimesNewRoman" w:cs="MAIIBI+TimesNewRoman"/>
        </w:rPr>
        <w:t xml:space="preserve"> under </w:t>
      </w:r>
      <w:r w:rsidR="00F04B84">
        <w:rPr>
          <w:rFonts w:ascii="MAIIBI+TimesNewRoman" w:hAnsi="MAIIBI+TimesNewRoman" w:cs="MAIIBI+TimesNewRoman"/>
        </w:rPr>
        <w:t>a</w:t>
      </w:r>
      <w:r w:rsidR="00BB77FE">
        <w:rPr>
          <w:rFonts w:ascii="MAIIBI+TimesNewRoman" w:hAnsi="MAIIBI+TimesNewRoman" w:cs="MAIIBI+TimesNewRoman"/>
        </w:rPr>
        <w:t>ccount</w:t>
      </w:r>
      <w:r>
        <w:rPr>
          <w:rFonts w:ascii="MAIIBI+TimesNewRoman" w:hAnsi="MAIIBI+TimesNewRoman" w:cs="MAIIBI+TimesNewRoman"/>
        </w:rPr>
        <w:t xml:space="preserve"> </w:t>
      </w:r>
      <w:r w:rsidR="00F04B84">
        <w:rPr>
          <w:rFonts w:ascii="MAIIBI+TimesNewRoman" w:hAnsi="MAIIBI+TimesNewRoman" w:cs="MAIIBI+TimesNewRoman"/>
        </w:rPr>
        <w:t>c</w:t>
      </w:r>
      <w:r>
        <w:rPr>
          <w:rFonts w:ascii="MAIIBI+TimesNewRoman" w:hAnsi="MAIIBI+TimesNewRoman" w:cs="MAIIBI+TimesNewRoman"/>
        </w:rPr>
        <w:t>odes</w:t>
      </w:r>
      <w:r w:rsidR="00BB77FE">
        <w:rPr>
          <w:rFonts w:ascii="MAIIBI+TimesNewRoman" w:hAnsi="MAIIBI+TimesNewRoman" w:cs="MAIIBI+TimesNewRoman"/>
        </w:rPr>
        <w:t>: 5012090</w:t>
      </w:r>
      <w:r>
        <w:rPr>
          <w:rFonts w:ascii="MAIIBI+TimesNewRoman" w:hAnsi="MAIIBI+TimesNewRoman" w:cs="MAIIBI+TimesNewRoman"/>
        </w:rPr>
        <w:t xml:space="preserve">, </w:t>
      </w:r>
      <w:r w:rsidR="00BB77FE">
        <w:rPr>
          <w:rFonts w:ascii="MAIIBI+TimesNewRoman" w:hAnsi="MAIIBI+TimesNewRoman" w:cs="MAIIBI+TimesNewRoman"/>
        </w:rPr>
        <w:t>5013090</w:t>
      </w:r>
      <w:r>
        <w:rPr>
          <w:rFonts w:ascii="MAIIBI+TimesNewRoman" w:hAnsi="MAIIBI+TimesNewRoman" w:cs="MAIIBI+TimesNewRoman"/>
        </w:rPr>
        <w:t xml:space="preserve">, </w:t>
      </w:r>
      <w:r w:rsidR="00BB77FE">
        <w:rPr>
          <w:rFonts w:ascii="MAIIBI+TimesNewRoman" w:hAnsi="MAIIBI+TimesNewRoman" w:cs="MAIIBI+TimesNewRoman"/>
        </w:rPr>
        <w:t>5022090</w:t>
      </w:r>
      <w:r>
        <w:rPr>
          <w:rFonts w:ascii="MAIIBI+TimesNewRoman" w:hAnsi="MAIIBI+TimesNewRoman" w:cs="MAIIBI+TimesNewRoman"/>
        </w:rPr>
        <w:t xml:space="preserve"> and other codes utilized by state agencies. The SWAM expenditures of charge cards are extracted from the credit card statements submitted by the card company to D</w:t>
      </w:r>
      <w:r w:rsidR="00BB77FE">
        <w:rPr>
          <w:rFonts w:ascii="MAIIBI+TimesNewRoman" w:hAnsi="MAIIBI+TimesNewRoman" w:cs="MAIIBI+TimesNewRoman"/>
        </w:rPr>
        <w:t>SBSD</w:t>
      </w:r>
      <w:r>
        <w:rPr>
          <w:rFonts w:ascii="MAIIBI+TimesNewRoman" w:hAnsi="MAIIBI+TimesNewRoman" w:cs="MAIIBI+TimesNewRoman"/>
        </w:rPr>
        <w:t xml:space="preserve">. Please see Appendix 2 for charge card SWAM reporting dates and parameters for reporting. </w:t>
      </w:r>
    </w:p>
    <w:p w:rsidR="00176D20" w:rsidRDefault="00176D20" w:rsidP="00176D20">
      <w:pPr>
        <w:pStyle w:val="Default"/>
        <w:rPr>
          <w:rFonts w:ascii="MAIIBI+TimesNewRoman" w:hAnsi="MAIIBI+TimesNewRoman" w:cs="MAIIBI+TimesNewRoman"/>
          <w:color w:val="auto"/>
        </w:rPr>
      </w:pPr>
    </w:p>
    <w:sectPr w:rsidR="00176D20" w:rsidSect="00176D20">
      <w:type w:val="continuous"/>
      <w:pgSz w:w="15840" w:h="12240" w:orient="landscape"/>
      <w:pgMar w:top="810" w:right="620" w:bottom="680" w:left="99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IBI+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ICJ+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A45"/>
    <w:multiLevelType w:val="hybridMultilevel"/>
    <w:tmpl w:val="01EE7610"/>
    <w:lvl w:ilvl="0" w:tplc="33FE12A6">
      <w:numFmt w:val="bullet"/>
      <w:lvlText w:val="•"/>
      <w:lvlJc w:val="left"/>
      <w:pPr>
        <w:ind w:left="720" w:hanging="360"/>
      </w:pPr>
      <w:rPr>
        <w:rFonts w:ascii="MAIIBI+TimesNewRoman" w:eastAsiaTheme="minorEastAsia" w:hAnsi="MAIIBI+TimesNew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B60F6"/>
    <w:multiLevelType w:val="hybridMultilevel"/>
    <w:tmpl w:val="DCA2DAAE"/>
    <w:lvl w:ilvl="0" w:tplc="33FE12A6">
      <w:numFmt w:val="bullet"/>
      <w:lvlText w:val="•"/>
      <w:lvlJc w:val="left"/>
      <w:pPr>
        <w:ind w:left="720" w:hanging="360"/>
      </w:pPr>
      <w:rPr>
        <w:rFonts w:ascii="MAIIBI+TimesNewRoman" w:eastAsiaTheme="minorEastAsia" w:hAnsi="MAIIBI+TimesNew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56BFD"/>
    <w:multiLevelType w:val="hybridMultilevel"/>
    <w:tmpl w:val="AC2E833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CDE2007"/>
    <w:multiLevelType w:val="hybridMultilevel"/>
    <w:tmpl w:val="E532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27EB1"/>
    <w:multiLevelType w:val="hybridMultilevel"/>
    <w:tmpl w:val="35F6ADEC"/>
    <w:lvl w:ilvl="0" w:tplc="FFFFFFFF">
      <w:start w:val="1"/>
      <w:numFmt w:val="decimal"/>
      <w:lvlText w:val=""/>
      <w:lvlJc w:val="left"/>
      <w:rPr>
        <w:rFonts w:cs="Times New Roman"/>
      </w:rPr>
    </w:lvl>
    <w:lvl w:ilvl="1" w:tplc="33FE12A6">
      <w:numFmt w:val="bullet"/>
      <w:lvlText w:val="•"/>
      <w:lvlJc w:val="left"/>
      <w:rPr>
        <w:rFonts w:ascii="MAIIBI+TimesNewRoman" w:eastAsiaTheme="minorEastAsia" w:hAnsi="MAIIBI+TimesNew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4AC76D28"/>
    <w:multiLevelType w:val="hybridMultilevel"/>
    <w:tmpl w:val="1FFDD2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E68C289"/>
    <w:multiLevelType w:val="hybridMultilevel"/>
    <w:tmpl w:val="E73BF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FCE57B8"/>
    <w:multiLevelType w:val="hybridMultilevel"/>
    <w:tmpl w:val="13586E6A"/>
    <w:lvl w:ilvl="0" w:tplc="33FE12A6">
      <w:numFmt w:val="bullet"/>
      <w:lvlText w:val="•"/>
      <w:lvlJc w:val="left"/>
      <w:pPr>
        <w:ind w:left="360" w:hanging="360"/>
      </w:pPr>
      <w:rPr>
        <w:rFonts w:ascii="MAIIBI+TimesNewRoman" w:eastAsiaTheme="minorEastAsia" w:hAnsi="MAIIBI+TimesNew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7C0F6F"/>
    <w:multiLevelType w:val="hybridMultilevel"/>
    <w:tmpl w:val="13C4C09A"/>
    <w:lvl w:ilvl="0" w:tplc="33FE12A6">
      <w:numFmt w:val="bullet"/>
      <w:lvlText w:val="•"/>
      <w:lvlJc w:val="left"/>
      <w:pPr>
        <w:ind w:left="360" w:hanging="360"/>
      </w:pPr>
      <w:rPr>
        <w:rFonts w:ascii="MAIIBI+TimesNewRoman" w:eastAsiaTheme="minorEastAsia" w:hAnsi="MAIIBI+TimesNew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17498C"/>
    <w:multiLevelType w:val="hybridMultilevel"/>
    <w:tmpl w:val="D896248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81965D0"/>
    <w:multiLevelType w:val="hybridMultilevel"/>
    <w:tmpl w:val="45D6AAE6"/>
    <w:lvl w:ilvl="0" w:tplc="33FE12A6">
      <w:numFmt w:val="bullet"/>
      <w:lvlText w:val="•"/>
      <w:lvlJc w:val="left"/>
      <w:pPr>
        <w:ind w:left="1080" w:hanging="360"/>
      </w:pPr>
      <w:rPr>
        <w:rFonts w:ascii="MAIIBI+TimesNewRoman" w:eastAsiaTheme="minorEastAsia" w:hAnsi="MAIIBI+TimesNew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1D8327A"/>
    <w:multiLevelType w:val="hybridMultilevel"/>
    <w:tmpl w:val="8572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1"/>
  </w:num>
  <w:num w:numId="6">
    <w:abstractNumId w:val="1"/>
  </w:num>
  <w:num w:numId="7">
    <w:abstractNumId w:val="10"/>
  </w:num>
  <w:num w:numId="8">
    <w:abstractNumId w:val="8"/>
  </w:num>
  <w:num w:numId="9">
    <w:abstractNumId w:val="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20"/>
    <w:rsid w:val="000E53E1"/>
    <w:rsid w:val="00106B8A"/>
    <w:rsid w:val="00176D20"/>
    <w:rsid w:val="00BB77FE"/>
    <w:rsid w:val="00C52A21"/>
    <w:rsid w:val="00F0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pPr>
      <w:widowControl w:val="0"/>
      <w:autoSpaceDE w:val="0"/>
      <w:autoSpaceDN w:val="0"/>
      <w:adjustRightInd w:val="0"/>
      <w:spacing w:after="0" w:line="240" w:lineRule="auto"/>
    </w:pPr>
    <w:rPr>
      <w:rFonts w:ascii="MAIICJ+TimesNewRoman,Bold" w:hAnsi="MAIICJ+TimesNewRoman,Bold"/>
      <w:sz w:val="24"/>
      <w:szCs w:val="24"/>
    </w:rPr>
  </w:style>
  <w:style w:type="paragraph" w:styleId="Heading1">
    <w:name w:val="heading 1"/>
    <w:basedOn w:val="Default"/>
    <w:next w:val="Default"/>
    <w:link w:val="Heading1Char"/>
    <w:uiPriority w:val="99"/>
    <w:qFormat/>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MAIICJ+TimesNewRoman,Bold" w:hAnsi="MAIICJ+TimesNewRoman,Bold" w:cs="MAIICJ+TimesNewRoman,Bold"/>
      <w:color w:val="000000"/>
      <w:sz w:val="24"/>
      <w:szCs w:val="24"/>
    </w:rPr>
  </w:style>
  <w:style w:type="paragraph" w:styleId="BodyTextIndent">
    <w:name w:val="Body Text Indent"/>
    <w:basedOn w:val="Default"/>
    <w:next w:val="Default"/>
    <w:link w:val="BodyTextIndentChar"/>
    <w:uiPriority w:val="99"/>
    <w:rPr>
      <w:rFonts w:cs="Times New Roman"/>
      <w:color w:val="auto"/>
    </w:rPr>
  </w:style>
  <w:style w:type="character" w:customStyle="1" w:styleId="BodyTextIndentChar">
    <w:name w:val="Body Text Indent Char"/>
    <w:basedOn w:val="DefaultParagraphFont"/>
    <w:link w:val="BodyTextIndent"/>
    <w:uiPriority w:val="99"/>
    <w:semiHidden/>
    <w:locked/>
    <w:rPr>
      <w:rFonts w:ascii="MAIICJ+TimesNewRoman,Bold" w:hAnsi="MAIICJ+TimesNewRoman,Bold" w:cs="Times New Roman"/>
      <w:sz w:val="24"/>
      <w:szCs w:val="24"/>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basedOn w:val="DefaultParagraphFont"/>
    <w:link w:val="Header"/>
    <w:uiPriority w:val="99"/>
    <w:semiHidden/>
    <w:locked/>
    <w:rPr>
      <w:rFonts w:ascii="MAIICJ+TimesNewRoman,Bold" w:hAnsi="MAIICJ+TimesNewRoman,Bold" w:cs="Times New Roman"/>
      <w:sz w:val="24"/>
      <w:szCs w:val="24"/>
    </w:rPr>
  </w:style>
  <w:style w:type="paragraph" w:styleId="BodyTextIndent2">
    <w:name w:val="Body Text Indent 2"/>
    <w:basedOn w:val="Default"/>
    <w:next w:val="Default"/>
    <w:link w:val="BodyTextIndent2Char"/>
    <w:uiPriority w:val="99"/>
    <w:rPr>
      <w:rFonts w:cs="Times New Roman"/>
      <w:color w:val="auto"/>
    </w:rPr>
  </w:style>
  <w:style w:type="character" w:customStyle="1" w:styleId="BodyTextIndent2Char">
    <w:name w:val="Body Text Indent 2 Char"/>
    <w:basedOn w:val="DefaultParagraphFont"/>
    <w:link w:val="BodyTextIndent2"/>
    <w:uiPriority w:val="99"/>
    <w:semiHidden/>
    <w:locked/>
    <w:rPr>
      <w:rFonts w:ascii="MAIICJ+TimesNewRoman,Bold" w:hAnsi="MAIICJ+TimesNewRoman,Bol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pPr>
      <w:widowControl w:val="0"/>
      <w:autoSpaceDE w:val="0"/>
      <w:autoSpaceDN w:val="0"/>
      <w:adjustRightInd w:val="0"/>
      <w:spacing w:after="0" w:line="240" w:lineRule="auto"/>
    </w:pPr>
    <w:rPr>
      <w:rFonts w:ascii="MAIICJ+TimesNewRoman,Bold" w:hAnsi="MAIICJ+TimesNewRoman,Bold"/>
      <w:sz w:val="24"/>
      <w:szCs w:val="24"/>
    </w:rPr>
  </w:style>
  <w:style w:type="paragraph" w:styleId="Heading1">
    <w:name w:val="heading 1"/>
    <w:basedOn w:val="Default"/>
    <w:next w:val="Default"/>
    <w:link w:val="Heading1Char"/>
    <w:uiPriority w:val="99"/>
    <w:qFormat/>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MAIICJ+TimesNewRoman,Bold" w:hAnsi="MAIICJ+TimesNewRoman,Bold" w:cs="MAIICJ+TimesNewRoman,Bold"/>
      <w:color w:val="000000"/>
      <w:sz w:val="24"/>
      <w:szCs w:val="24"/>
    </w:rPr>
  </w:style>
  <w:style w:type="paragraph" w:styleId="BodyTextIndent">
    <w:name w:val="Body Text Indent"/>
    <w:basedOn w:val="Default"/>
    <w:next w:val="Default"/>
    <w:link w:val="BodyTextIndentChar"/>
    <w:uiPriority w:val="99"/>
    <w:rPr>
      <w:rFonts w:cs="Times New Roman"/>
      <w:color w:val="auto"/>
    </w:rPr>
  </w:style>
  <w:style w:type="character" w:customStyle="1" w:styleId="BodyTextIndentChar">
    <w:name w:val="Body Text Indent Char"/>
    <w:basedOn w:val="DefaultParagraphFont"/>
    <w:link w:val="BodyTextIndent"/>
    <w:uiPriority w:val="99"/>
    <w:semiHidden/>
    <w:locked/>
    <w:rPr>
      <w:rFonts w:ascii="MAIICJ+TimesNewRoman,Bold" w:hAnsi="MAIICJ+TimesNewRoman,Bold" w:cs="Times New Roman"/>
      <w:sz w:val="24"/>
      <w:szCs w:val="24"/>
    </w:rPr>
  </w:style>
  <w:style w:type="paragraph" w:styleId="Header">
    <w:name w:val="header"/>
    <w:basedOn w:val="Default"/>
    <w:next w:val="Default"/>
    <w:link w:val="HeaderChar"/>
    <w:uiPriority w:val="99"/>
    <w:rPr>
      <w:rFonts w:cs="Times New Roman"/>
      <w:color w:val="auto"/>
    </w:rPr>
  </w:style>
  <w:style w:type="character" w:customStyle="1" w:styleId="HeaderChar">
    <w:name w:val="Header Char"/>
    <w:basedOn w:val="DefaultParagraphFont"/>
    <w:link w:val="Header"/>
    <w:uiPriority w:val="99"/>
    <w:semiHidden/>
    <w:locked/>
    <w:rPr>
      <w:rFonts w:ascii="MAIICJ+TimesNewRoman,Bold" w:hAnsi="MAIICJ+TimesNewRoman,Bold" w:cs="Times New Roman"/>
      <w:sz w:val="24"/>
      <w:szCs w:val="24"/>
    </w:rPr>
  </w:style>
  <w:style w:type="paragraph" w:styleId="BodyTextIndent2">
    <w:name w:val="Body Text Indent 2"/>
    <w:basedOn w:val="Default"/>
    <w:next w:val="Default"/>
    <w:link w:val="BodyTextIndent2Char"/>
    <w:uiPriority w:val="99"/>
    <w:rPr>
      <w:rFonts w:cs="Times New Roman"/>
      <w:color w:val="auto"/>
    </w:rPr>
  </w:style>
  <w:style w:type="character" w:customStyle="1" w:styleId="BodyTextIndent2Char">
    <w:name w:val="Body Text Indent 2 Char"/>
    <w:basedOn w:val="DefaultParagraphFont"/>
    <w:link w:val="BodyTextIndent2"/>
    <w:uiPriority w:val="99"/>
    <w:semiHidden/>
    <w:locked/>
    <w:rPr>
      <w:rFonts w:ascii="MAIICJ+TimesNewRoman,Bold" w:hAnsi="MAIICJ+TimesNewRoman,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methodology used to collect the Commonwealth’s expenditures in the Procurement Disparity Study by MGT of America included:</vt:lpstr>
    </vt:vector>
  </TitlesOfParts>
  <Company>Virginia IT Infrastructure Partnership</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methodology used to collect the Commonwealth’s expenditures in the Procurement Disparity Study by MGT of America included:</dc:title>
  <dc:creator>achiang</dc:creator>
  <cp:lastModifiedBy>Mayton, Jennifer (DSBSD)</cp:lastModifiedBy>
  <cp:revision>2</cp:revision>
  <dcterms:created xsi:type="dcterms:W3CDTF">2017-02-21T18:52:00Z</dcterms:created>
  <dcterms:modified xsi:type="dcterms:W3CDTF">2017-02-21T18:52:00Z</dcterms:modified>
</cp:coreProperties>
</file>